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glossary/fontTable.xml" ContentType="application/vnd.openxmlformats-officedocument.wordprocessingml.fontTable+xml"/>
  <Override PartName="/word/glossary/_rels/document.xml.rels" ContentType="application/vnd.openxmlformats-package.relationship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document.xml" ContentType="application/vnd.openxmlformats-officedocument.wordprocessingml.document.glossary+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16"/>
        <w:jc w:val="center"/>
        <w:rPr>
          <w:sz w:val="32"/>
          <w:szCs w:val="32"/>
        </w:rPr>
      </w:pPr>
      <w:r>
        <w:rPr>
          <w:b/>
          <w:bCs/>
          <w:sz w:val="32"/>
          <w:szCs w:val="32"/>
        </w:rPr>
        <w:t xml:space="preserve">Требования пожарной безопасности </w:t>
      </w:r>
      <w:r>
        <w:rPr>
          <w:rFonts w:eastAsia="" w:cs="" w:cstheme="minorBidi" w:eastAsiaTheme="minorEastAsia"/>
          <w:b/>
          <w:bCs/>
          <w:color w:val="auto"/>
          <w:kern w:val="0"/>
          <w:sz w:val="32"/>
          <w:szCs w:val="32"/>
          <w:lang w:val="ru-RU" w:eastAsia="ru-RU" w:bidi="ar-SA"/>
        </w:rPr>
        <w:t>в период пожароопасного сезона</w:t>
      </w:r>
    </w:p>
    <w:p>
      <w:pPr>
        <w:pStyle w:val="Normal"/>
        <w:spacing w:lineRule="auto" w:line="216"/>
        <w:rPr>
          <w:b w:val="false"/>
          <w:b w:val="false"/>
          <w:bCs w:val="false"/>
          <w:sz w:val="22"/>
          <w:szCs w:val="22"/>
        </w:rPr>
      </w:pPr>
      <w:r>
        <w:rPr>
          <w:b w:val="false"/>
          <w:bCs w:val="false"/>
          <w:sz w:val="22"/>
          <w:szCs w:val="22"/>
        </w:rPr>
      </w:r>
    </w:p>
    <w:p>
      <w:pPr>
        <w:pStyle w:val="Normal"/>
        <w:widowControl/>
        <w:suppressAutoHyphens w:val="true"/>
        <w:bidi w:val="0"/>
        <w:spacing w:lineRule="auto" w:line="216" w:before="0" w:after="0"/>
        <w:ind w:left="0" w:right="0" w:firstLine="737"/>
        <w:jc w:val="both"/>
        <w:rPr>
          <w:sz w:val="26"/>
          <w:szCs w:val="26"/>
        </w:rPr>
      </w:pPr>
      <w:r>
        <w:rPr>
          <w:sz w:val="26"/>
          <w:szCs w:val="26"/>
        </w:rPr>
        <w:t>Пожароопасный сезон — это это период времени года с момента таяния снегового покрова до наступления устойчивой дождливой осенней погоды или образования снегового покрова. Наиболее пожароопасным периодом считается июнь – август.</w:t>
      </w:r>
    </w:p>
    <w:p>
      <w:pPr>
        <w:pStyle w:val="Normal"/>
        <w:widowControl/>
        <w:suppressAutoHyphens w:val="true"/>
        <w:bidi w:val="0"/>
        <w:spacing w:lineRule="auto" w:line="216" w:before="0" w:after="0"/>
        <w:ind w:left="0" w:right="0" w:firstLine="737"/>
        <w:jc w:val="both"/>
        <w:rPr>
          <w:sz w:val="26"/>
          <w:szCs w:val="26"/>
        </w:rPr>
      </w:pPr>
      <w:r>
        <w:rPr>
          <w:sz w:val="26"/>
          <w:szCs w:val="26"/>
        </w:rPr>
        <w:t>Особый противопожарный режим - дополнительные требования пожарной безопасности,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w:t>
      </w:r>
    </w:p>
    <w:p>
      <w:pPr>
        <w:pStyle w:val="Normal"/>
        <w:widowControl/>
        <w:suppressAutoHyphens w:val="true"/>
        <w:bidi w:val="0"/>
        <w:spacing w:lineRule="auto" w:line="216" w:before="0" w:after="0"/>
        <w:ind w:left="0" w:right="0" w:firstLine="737"/>
        <w:jc w:val="both"/>
        <w:rPr>
          <w:sz w:val="26"/>
          <w:szCs w:val="26"/>
        </w:rPr>
      </w:pPr>
      <w:r>
        <w:rPr>
          <w:sz w:val="26"/>
          <w:szCs w:val="26"/>
        </w:rPr>
        <w:t xml:space="preserve">В соответствии с приказом департамента недроиспользования природных ресурсов Ханты-Мансийского автономного округа-Югры от 11.04.2024 № 11-нп с 26 апреля 2024 года на территории Ханты-Мансийского автономного округа-Югры вводится пожароопасный сезон. </w:t>
      </w:r>
    </w:p>
    <w:p>
      <w:pPr>
        <w:pStyle w:val="Normal"/>
        <w:widowControl/>
        <w:suppressAutoHyphens w:val="true"/>
        <w:bidi w:val="0"/>
        <w:spacing w:lineRule="auto" w:line="216" w:before="0" w:after="0"/>
        <w:ind w:left="0" w:right="0" w:firstLine="737"/>
        <w:jc w:val="both"/>
        <w:rPr>
          <w:sz w:val="26"/>
          <w:szCs w:val="26"/>
        </w:rPr>
      </w:pPr>
      <w:r>
        <w:rPr>
          <w:sz w:val="26"/>
          <w:szCs w:val="26"/>
        </w:rPr>
        <w:t xml:space="preserve">В соответствии с </w:t>
      </w:r>
      <w:r>
        <w:rPr>
          <w:b/>
          <w:bCs/>
          <w:sz w:val="26"/>
          <w:szCs w:val="26"/>
        </w:rPr>
        <w:t xml:space="preserve">Правилами противопожарного режима в Российской Федерации, утвержденные  </w:t>
      </w:r>
      <w:r>
        <w:rPr>
          <w:rFonts w:eastAsia="0" w:cs="Times New Roman"/>
          <w:b/>
          <w:bCs/>
          <w:color w:val="000000" w:themeColor="text1"/>
          <w:spacing w:val="4"/>
          <w:kern w:val="0"/>
          <w:sz w:val="26"/>
          <w:szCs w:val="26"/>
          <w:lang w:val="ru-RU" w:eastAsia="ar-SA" w:bidi="ar-SA"/>
        </w:rPr>
        <w:t>П</w:t>
      </w:r>
      <w:r>
        <w:rPr>
          <w:rFonts w:eastAsia="0" w:cs="Times New Roman"/>
          <w:b/>
          <w:bCs/>
          <w:color w:val="000000" w:themeColor="text1"/>
          <w:spacing w:val="4"/>
          <w:sz w:val="26"/>
          <w:szCs w:val="26"/>
          <w:lang w:eastAsia="ar-SA"/>
        </w:rPr>
        <w:t>остановлением Правительства Российской Федерации от 16.09.2020 № 1479:</w:t>
      </w:r>
    </w:p>
    <w:p>
      <w:pPr>
        <w:pStyle w:val="Normal"/>
        <w:widowControl/>
        <w:suppressAutoHyphens w:val="true"/>
        <w:bidi w:val="0"/>
        <w:spacing w:lineRule="auto" w:line="216" w:before="0" w:after="0"/>
        <w:ind w:left="0" w:right="0" w:firstLine="737"/>
        <w:jc w:val="both"/>
        <w:rPr>
          <w:sz w:val="26"/>
          <w:szCs w:val="26"/>
        </w:rPr>
      </w:pPr>
      <w:r>
        <w:rPr>
          <w:rFonts w:eastAsia="0" w:cs="Times New Roman"/>
          <w:b/>
          <w:bCs/>
          <w:color w:val="000000" w:themeColor="text1"/>
          <w:spacing w:val="4"/>
          <w:sz w:val="26"/>
          <w:szCs w:val="26"/>
          <w:lang w:eastAsia="ar-SA"/>
        </w:rPr>
        <w:t>- пункт 70,</w:t>
      </w:r>
      <w:r>
        <w:rPr>
          <w:rFonts w:eastAsia="0" w:cs="Times New Roman"/>
          <w:color w:val="000000" w:themeColor="text1"/>
          <w:spacing w:val="4"/>
          <w:sz w:val="26"/>
          <w:szCs w:val="26"/>
          <w:lang w:eastAsia="ar-SA"/>
        </w:rPr>
        <w:t xml:space="preserve"> </w:t>
      </w:r>
      <w:r>
        <w:rPr>
          <w:rFonts w:eastAsia="0" w:cs="Times New Roman"/>
          <w:color w:val="000000" w:themeColor="text1"/>
          <w:spacing w:val="4"/>
          <w:kern w:val="0"/>
          <w:sz w:val="26"/>
          <w:szCs w:val="26"/>
          <w:lang w:val="ru-RU" w:eastAsia="ar-SA" w:bidi="ar-SA"/>
        </w:rPr>
        <w:t>в</w:t>
      </w:r>
      <w:r>
        <w:rPr>
          <w:rFonts w:eastAsia="0" w:cs="Times New Roman"/>
          <w:color w:val="000000" w:themeColor="text1"/>
          <w:spacing w:val="4"/>
          <w:sz w:val="26"/>
          <w:szCs w:val="26"/>
          <w:lang w:eastAsia="ar-SA"/>
        </w:rPr>
        <w:t xml:space="preserve">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 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1,4 метра или иным противопожарным барьером;</w:t>
      </w:r>
    </w:p>
    <w:p>
      <w:pPr>
        <w:pStyle w:val="Normal"/>
        <w:widowControl/>
        <w:suppressAutoHyphens w:val="true"/>
        <w:bidi w:val="0"/>
        <w:spacing w:lineRule="auto" w:line="216" w:before="0" w:after="0"/>
        <w:ind w:left="0" w:right="0" w:firstLine="737"/>
        <w:jc w:val="both"/>
        <w:rPr>
          <w:sz w:val="26"/>
          <w:szCs w:val="26"/>
        </w:rPr>
      </w:pPr>
      <w:r>
        <w:rPr>
          <w:rFonts w:eastAsia="0" w:cs="Times New Roman"/>
          <w:b/>
          <w:bCs/>
          <w:color w:val="000000" w:themeColor="text1"/>
          <w:spacing w:val="4"/>
          <w:sz w:val="26"/>
          <w:szCs w:val="26"/>
          <w:lang w:eastAsia="ar-SA"/>
        </w:rPr>
        <w:t>- пункт 74,</w:t>
      </w:r>
      <w:r>
        <w:rPr>
          <w:rFonts w:eastAsia="0" w:cs="Times New Roman"/>
          <w:color w:val="000000" w:themeColor="text1"/>
          <w:spacing w:val="4"/>
          <w:sz w:val="26"/>
          <w:szCs w:val="26"/>
          <w:lang w:eastAsia="ar-SA"/>
        </w:rPr>
        <w:t xml:space="preserve"> на объектах защиты, граничащих с лесничествами, а также расположенных в районах с торфяными почвами, предусматривается создание защитных противопожарных минерализованных полос шириной не менее 1,4 метра, противопожарных расстояний, удаление (сбор) в летний период сухой растительности, поросли, кустарников и осуществление других мероприятий, предупреждающих распространение огня при природных пожарах. Противопожарные минерализованные полосы не должны препятствовать проезду к населенным пунктам и водоисточникам в целях пожаротушения. </w:t>
      </w:r>
    </w:p>
    <w:p>
      <w:pPr>
        <w:pStyle w:val="Normal"/>
        <w:widowControl/>
        <w:suppressAutoHyphens w:val="true"/>
        <w:bidi w:val="0"/>
        <w:spacing w:lineRule="auto" w:line="216" w:before="0" w:after="0"/>
        <w:ind w:left="0" w:right="0" w:firstLine="737"/>
        <w:jc w:val="both"/>
        <w:rPr>
          <w:sz w:val="26"/>
          <w:szCs w:val="26"/>
        </w:rPr>
      </w:pPr>
      <w:r>
        <w:rPr>
          <w:rFonts w:eastAsia="0" w:cs="Times New Roman"/>
          <w:color w:val="000000" w:themeColor="text1"/>
          <w:spacing w:val="4"/>
          <w:sz w:val="26"/>
          <w:szCs w:val="26"/>
          <w:lang w:eastAsia="ar-SA"/>
        </w:rPr>
        <w:t>Запрещается использовать противопожарные минерализованные полосы и противопожарные расстояния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p>
      <w:pPr>
        <w:pStyle w:val="Normal"/>
        <w:widowControl/>
        <w:suppressAutoHyphens w:val="true"/>
        <w:bidi w:val="0"/>
        <w:spacing w:lineRule="auto" w:line="216" w:before="0" w:after="0"/>
        <w:ind w:left="0" w:right="0" w:firstLine="737"/>
        <w:jc w:val="both"/>
        <w:rPr>
          <w:sz w:val="26"/>
          <w:szCs w:val="26"/>
        </w:rPr>
      </w:pPr>
      <w:r>
        <w:rPr>
          <w:rFonts w:eastAsia="0" w:cs="Times New Roman"/>
          <w:b/>
          <w:bCs/>
          <w:color w:val="000000" w:themeColor="text1"/>
          <w:spacing w:val="4"/>
          <w:sz w:val="26"/>
          <w:szCs w:val="26"/>
          <w:lang w:eastAsia="ar-SA"/>
        </w:rPr>
        <w:t>- пункт 69,</w:t>
      </w:r>
      <w:r>
        <w:rPr>
          <w:rFonts w:eastAsia="0" w:cs="Times New Roman"/>
          <w:color w:val="000000" w:themeColor="text1"/>
          <w:spacing w:val="4"/>
          <w:sz w:val="26"/>
          <w:szCs w:val="26"/>
          <w:lang w:eastAsia="ar-SA"/>
        </w:rPr>
        <w:t xml:space="preserve"> на территориях садоводства или огородничества, в том числе вне границ указанных территорий, в охранных зонах линий электропередачи, электрических станций и подстанций, а также в лесах, лесопарковых зонах и на землях сельскохозяйственного назначения запрещается устраивать свалки отходов;</w:t>
      </w:r>
    </w:p>
    <w:p>
      <w:pPr>
        <w:pStyle w:val="Normal"/>
        <w:widowControl/>
        <w:suppressAutoHyphens w:val="true"/>
        <w:bidi w:val="0"/>
        <w:spacing w:lineRule="auto" w:line="216" w:before="0" w:after="0"/>
        <w:ind w:left="0" w:right="0" w:firstLine="737"/>
        <w:jc w:val="both"/>
        <w:rPr>
          <w:sz w:val="26"/>
          <w:szCs w:val="26"/>
        </w:rPr>
      </w:pPr>
      <w:r>
        <w:rPr>
          <w:rFonts w:eastAsia="0" w:cs="Times New Roman"/>
          <w:b/>
          <w:bCs/>
          <w:color w:val="000000" w:themeColor="text1"/>
          <w:spacing w:val="4"/>
          <w:sz w:val="26"/>
          <w:szCs w:val="26"/>
          <w:lang w:eastAsia="ar-SA"/>
        </w:rPr>
        <w:t>- пункт 73,</w:t>
      </w:r>
      <w:r>
        <w:rPr>
          <w:rFonts w:eastAsia="0" w:cs="Times New Roman"/>
          <w:color w:val="000000" w:themeColor="text1"/>
          <w:spacing w:val="4"/>
          <w:sz w:val="26"/>
          <w:szCs w:val="26"/>
          <w:lang w:eastAsia="ar-SA"/>
        </w:rPr>
        <w:t xml:space="preserve"> </w:t>
      </w:r>
      <w:r>
        <w:rPr>
          <w:rFonts w:eastAsia="0" w:cs="Times New Roman"/>
          <w:color w:val="000000" w:themeColor="text1"/>
          <w:spacing w:val="4"/>
          <w:kern w:val="0"/>
          <w:sz w:val="26"/>
          <w:szCs w:val="26"/>
          <w:lang w:val="ru-RU" w:eastAsia="ar-SA" w:bidi="ar-SA"/>
        </w:rPr>
        <w:t>р</w:t>
      </w:r>
      <w:r>
        <w:rPr>
          <w:rFonts w:eastAsia="0" w:cs="Times New Roman"/>
          <w:color w:val="000000" w:themeColor="text1"/>
          <w:spacing w:val="4"/>
          <w:sz w:val="26"/>
          <w:szCs w:val="26"/>
          <w:lang w:eastAsia="ar-SA"/>
        </w:rPr>
        <w:t>уководитель организации, лица, владеющие, пользующиеся и (или) распоряжающиеся объектами защиты, обеспечивают очистку объекта защиты от горючих отходов, мусора, тары и сухой растительности.</w:t>
      </w:r>
    </w:p>
    <w:p>
      <w:pPr>
        <w:pStyle w:val="Normal"/>
        <w:widowControl/>
        <w:suppressAutoHyphens w:val="true"/>
        <w:bidi w:val="0"/>
        <w:spacing w:lineRule="auto" w:line="216" w:before="0" w:after="0"/>
        <w:ind w:left="0" w:right="0" w:firstLine="737"/>
        <w:jc w:val="both"/>
        <w:rPr>
          <w:sz w:val="26"/>
          <w:szCs w:val="26"/>
        </w:rPr>
      </w:pPr>
      <w:r>
        <w:rPr>
          <w:rFonts w:eastAsia="0" w:cs="Times New Roman"/>
          <w:b/>
          <w:bCs/>
          <w:color w:val="000000" w:themeColor="text1"/>
          <w:spacing w:val="4"/>
          <w:sz w:val="26"/>
          <w:szCs w:val="26"/>
          <w:lang w:eastAsia="ar-SA"/>
        </w:rPr>
        <w:t>- пункт 71,</w:t>
      </w:r>
      <w:r>
        <w:rPr>
          <w:rFonts w:eastAsia="0" w:cs="Times New Roman"/>
          <w:color w:val="000000" w:themeColor="text1"/>
          <w:spacing w:val="4"/>
          <w:sz w:val="26"/>
          <w:szCs w:val="26"/>
          <w:lang w:eastAsia="ar-SA"/>
        </w:rPr>
        <w:t xml:space="preserve"> </w:t>
      </w:r>
      <w:r>
        <w:rPr>
          <w:rFonts w:eastAsia="0" w:cs="Times New Roman"/>
          <w:color w:val="000000" w:themeColor="text1"/>
          <w:spacing w:val="4"/>
          <w:kern w:val="0"/>
          <w:sz w:val="26"/>
          <w:szCs w:val="26"/>
          <w:lang w:val="ru-RU" w:eastAsia="ar-SA" w:bidi="ar-SA"/>
        </w:rPr>
        <w:t>н</w:t>
      </w:r>
      <w:r>
        <w:rPr>
          <w:rFonts w:eastAsia="0" w:cs="Times New Roman"/>
          <w:color w:val="000000" w:themeColor="text1"/>
          <w:spacing w:val="4"/>
          <w:sz w:val="26"/>
          <w:szCs w:val="26"/>
          <w:lang w:eastAsia="ar-SA"/>
        </w:rPr>
        <w:t>е допускается перекрывать проезды для пожарной техники изделиями и предметами, посадкой крупногабаритных деревьев, исключающими или ограничивающими проезд пожарной техники, доступ пожарных в этажи зданий, сооружений либо снижающими размеры проездов, подъездов, установленные требованиями пожарной безопасности.</w:t>
      </w:r>
    </w:p>
    <w:p>
      <w:pPr>
        <w:pStyle w:val="Normal"/>
        <w:widowControl/>
        <w:suppressAutoHyphens w:val="true"/>
        <w:bidi w:val="0"/>
        <w:spacing w:lineRule="auto" w:line="216" w:before="0" w:after="0"/>
        <w:ind w:left="0" w:right="0" w:firstLine="737"/>
        <w:jc w:val="both"/>
        <w:rPr>
          <w:sz w:val="26"/>
          <w:szCs w:val="26"/>
        </w:rPr>
      </w:pPr>
      <w:r>
        <w:rPr>
          <w:rFonts w:eastAsia="0" w:cs="Times New Roman"/>
          <w:color w:val="000000" w:themeColor="text1"/>
          <w:spacing w:val="4"/>
          <w:sz w:val="26"/>
          <w:szCs w:val="26"/>
          <w:lang w:eastAsia="ar-SA"/>
        </w:rPr>
        <w:t>Физическим лицам запрещается препятствовать работе подразделений пожарной охраны, в том числе в пути следования подразделений пожарной охраны к месту пожара.</w:t>
      </w:r>
    </w:p>
    <w:p>
      <w:pPr>
        <w:pStyle w:val="Normal"/>
        <w:widowControl/>
        <w:tabs>
          <w:tab w:val="clear" w:pos="708"/>
          <w:tab w:val="left" w:pos="4875" w:leader="none"/>
        </w:tabs>
        <w:suppressAutoHyphens w:val="true"/>
        <w:bidi w:val="0"/>
        <w:spacing w:lineRule="auto" w:line="216" w:before="0" w:after="0"/>
        <w:ind w:firstLine="567"/>
        <w:jc w:val="both"/>
        <w:rPr>
          <w:bCs/>
          <w:color w:val="000000"/>
          <w:sz w:val="26"/>
          <w:szCs w:val="26"/>
          <w:lang w:eastAsia="ru-RU"/>
        </w:rPr>
      </w:pPr>
      <w:r>
        <w:rPr>
          <w:bCs/>
          <w:color w:val="000000"/>
          <w:sz w:val="26"/>
          <w:szCs w:val="26"/>
          <w:lang w:eastAsia="ru-RU"/>
        </w:rPr>
      </w:r>
    </w:p>
    <w:p>
      <w:pPr>
        <w:pStyle w:val="Normal"/>
        <w:widowControl/>
        <w:suppressAutoHyphens w:val="true"/>
        <w:bidi w:val="0"/>
        <w:spacing w:lineRule="auto" w:line="216" w:before="0" w:after="0"/>
        <w:ind w:left="0" w:right="0" w:firstLine="737"/>
        <w:jc w:val="both"/>
        <w:rPr/>
      </w:pPr>
      <w:r>
        <w:rPr/>
      </w:r>
      <w:r>
        <w:br w:type="page"/>
      </w:r>
    </w:p>
    <w:p>
      <w:pPr>
        <w:pStyle w:val="Normal"/>
        <w:widowControl/>
        <w:suppressAutoHyphens w:val="true"/>
        <w:bidi w:val="0"/>
        <w:spacing w:lineRule="auto" w:line="216" w:before="0" w:after="0"/>
        <w:ind w:left="0" w:right="0" w:firstLine="737"/>
        <w:jc w:val="center"/>
        <w:rPr>
          <w:sz w:val="32"/>
          <w:szCs w:val="32"/>
        </w:rPr>
      </w:pPr>
      <w:r>
        <w:rPr>
          <w:b/>
          <w:bCs/>
          <w:sz w:val="32"/>
          <w:szCs w:val="32"/>
        </w:rPr>
        <w:t xml:space="preserve">Требования пожарной безопасности к зданиям предназначенным для временного </w:t>
      </w:r>
      <w:r>
        <w:rPr>
          <w:rFonts w:eastAsia="" w:cs="" w:cstheme="minorBidi" w:eastAsiaTheme="minorEastAsia"/>
          <w:b/>
          <w:bCs/>
          <w:color w:val="auto"/>
          <w:kern w:val="0"/>
          <w:sz w:val="32"/>
          <w:szCs w:val="32"/>
          <w:lang w:val="ru-RU" w:eastAsia="ru-RU" w:bidi="ar-SA"/>
        </w:rPr>
        <w:t>пребывания</w:t>
      </w:r>
      <w:r>
        <w:rPr>
          <w:b/>
          <w:bCs/>
          <w:sz w:val="32"/>
          <w:szCs w:val="32"/>
        </w:rPr>
        <w:t xml:space="preserve"> граждан</w:t>
      </w:r>
    </w:p>
    <w:p>
      <w:pPr>
        <w:pStyle w:val="Normal"/>
        <w:widowControl/>
        <w:suppressAutoHyphens w:val="true"/>
        <w:bidi w:val="0"/>
        <w:spacing w:lineRule="auto" w:line="216" w:before="0" w:after="0"/>
        <w:ind w:left="0" w:right="0" w:firstLine="737"/>
        <w:jc w:val="center"/>
        <w:rPr>
          <w:b/>
          <w:b/>
          <w:bCs/>
          <w:sz w:val="16"/>
          <w:szCs w:val="16"/>
        </w:rPr>
      </w:pPr>
      <w:r>
        <w:rPr>
          <w:b/>
          <w:bCs/>
          <w:sz w:val="16"/>
          <w:szCs w:val="16"/>
        </w:rPr>
      </w:r>
    </w:p>
    <w:p>
      <w:pPr>
        <w:pStyle w:val="Normal"/>
        <w:widowControl/>
        <w:suppressAutoHyphens w:val="true"/>
        <w:bidi w:val="0"/>
        <w:spacing w:lineRule="auto" w:line="216" w:before="0" w:after="0"/>
        <w:ind w:left="0" w:right="0" w:firstLine="737"/>
        <w:jc w:val="both"/>
        <w:rPr>
          <w:sz w:val="26"/>
          <w:szCs w:val="26"/>
        </w:rPr>
      </w:pPr>
      <w:r>
        <w:rPr>
          <w:b w:val="false"/>
          <w:bCs w:val="false"/>
          <w:sz w:val="26"/>
          <w:szCs w:val="26"/>
        </w:rPr>
        <w:t xml:space="preserve">В соответствии с </w:t>
      </w:r>
      <w:r>
        <w:rPr>
          <w:b/>
          <w:bCs/>
          <w:sz w:val="26"/>
          <w:szCs w:val="26"/>
        </w:rPr>
        <w:t>Правилами противопожарного режима в Российской Федерации, утвержденные  Постановлением Правительства Российской Федерации от 16.09.2020 № 1479:</w:t>
      </w:r>
    </w:p>
    <w:p>
      <w:pPr>
        <w:pStyle w:val="Normal"/>
        <w:widowControl/>
        <w:suppressAutoHyphens w:val="true"/>
        <w:bidi w:val="0"/>
        <w:spacing w:lineRule="auto" w:line="216" w:before="0" w:after="0"/>
        <w:ind w:left="0" w:right="0" w:firstLine="737"/>
        <w:jc w:val="both"/>
        <w:rPr>
          <w:sz w:val="26"/>
          <w:szCs w:val="26"/>
        </w:rPr>
      </w:pPr>
      <w:r>
        <w:rPr>
          <w:b w:val="false"/>
          <w:bCs w:val="false"/>
          <w:sz w:val="26"/>
          <w:szCs w:val="26"/>
        </w:rPr>
        <w:t>- </w:t>
      </w:r>
      <w:r>
        <w:rPr>
          <w:b/>
          <w:bCs/>
          <w:sz w:val="26"/>
          <w:szCs w:val="26"/>
        </w:rPr>
        <w:t>пункт 84,</w:t>
      </w:r>
      <w:r>
        <w:rPr>
          <w:b w:val="false"/>
          <w:bCs w:val="false"/>
          <w:sz w:val="26"/>
          <w:szCs w:val="26"/>
        </w:rPr>
        <w:t xml:space="preserve"> </w:t>
      </w:r>
      <w:r>
        <w:rPr>
          <w:rFonts w:eastAsia="" w:cs="" w:cstheme="minorBidi" w:eastAsiaTheme="minorEastAsia"/>
          <w:b w:val="false"/>
          <w:bCs w:val="false"/>
          <w:color w:val="auto"/>
          <w:kern w:val="0"/>
          <w:sz w:val="26"/>
          <w:szCs w:val="26"/>
          <w:lang w:val="ru-RU" w:eastAsia="ru-RU" w:bidi="ar-SA"/>
        </w:rPr>
        <w:t>в</w:t>
      </w:r>
      <w:r>
        <w:rPr>
          <w:b w:val="false"/>
          <w:bCs w:val="false"/>
          <w:sz w:val="26"/>
          <w:szCs w:val="26"/>
        </w:rPr>
        <w:t xml:space="preserve"> гостиницах, мотелях, общежитиях и других зданиях, приспособленных для временного пребывания людей, лица, ответственные за обеспечение пожарной безопасности, обеспечивают ознакомление прибывающих физических лиц с мерами пожарной безопасности. В номерах и на этажах этих объектов защиты вывешиваются планы эвакуации на случай пожара.</w:t>
      </w:r>
    </w:p>
    <w:p>
      <w:pPr>
        <w:pStyle w:val="Normal"/>
        <w:widowControl/>
        <w:suppressAutoHyphens w:val="true"/>
        <w:bidi w:val="0"/>
        <w:spacing w:lineRule="auto" w:line="216" w:before="0" w:after="0"/>
        <w:ind w:left="0" w:right="0" w:firstLine="737"/>
        <w:jc w:val="both"/>
        <w:rPr>
          <w:sz w:val="26"/>
          <w:szCs w:val="26"/>
        </w:rPr>
      </w:pPr>
      <w:r>
        <w:rPr>
          <w:sz w:val="26"/>
          <w:szCs w:val="26"/>
        </w:rPr>
        <w:t>На объектах защиты с пребыванием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выполняются на русском и английском языках;</w:t>
      </w:r>
    </w:p>
    <w:p>
      <w:pPr>
        <w:pStyle w:val="Normal"/>
        <w:widowControl/>
        <w:suppressAutoHyphens w:val="true"/>
        <w:bidi w:val="0"/>
        <w:spacing w:lineRule="auto" w:line="216" w:before="0" w:after="0"/>
        <w:ind w:left="0" w:right="0" w:firstLine="737"/>
        <w:jc w:val="both"/>
        <w:rPr>
          <w:sz w:val="26"/>
          <w:szCs w:val="26"/>
        </w:rPr>
      </w:pPr>
      <w:r>
        <w:rPr>
          <w:sz w:val="26"/>
          <w:szCs w:val="26"/>
        </w:rPr>
        <w:t>- </w:t>
      </w:r>
      <w:r>
        <w:rPr>
          <w:b/>
          <w:bCs/>
          <w:sz w:val="26"/>
          <w:szCs w:val="26"/>
        </w:rPr>
        <w:t>пункт 85,</w:t>
      </w:r>
      <w:r>
        <w:rPr>
          <w:sz w:val="26"/>
          <w:szCs w:val="26"/>
        </w:rPr>
        <w:t xml:space="preserve"> </w:t>
      </w:r>
      <w:r>
        <w:rPr>
          <w:rFonts w:eastAsia="" w:cs="" w:cstheme="minorBidi" w:eastAsiaTheme="minorEastAsia"/>
          <w:color w:val="auto"/>
          <w:kern w:val="0"/>
          <w:sz w:val="26"/>
          <w:szCs w:val="26"/>
          <w:lang w:val="ru-RU" w:eastAsia="ru-RU" w:bidi="ar-SA"/>
        </w:rPr>
        <w:t>в</w:t>
      </w:r>
      <w:r>
        <w:rPr>
          <w:sz w:val="26"/>
          <w:szCs w:val="26"/>
        </w:rPr>
        <w:t xml:space="preserve"> квартирах, жилых комнатах общежитий и номерах гостиниц запрещается устраивать производственные и складские помещения для применения и хранения пожаровзрывоопасных и пожароопасных веществ и материалов, а также изменять их функциональное назначение.</w:t>
      </w:r>
    </w:p>
    <w:p>
      <w:pPr>
        <w:pStyle w:val="Normal"/>
        <w:widowControl/>
        <w:suppressAutoHyphens w:val="true"/>
        <w:bidi w:val="0"/>
        <w:spacing w:lineRule="auto" w:line="216" w:before="0" w:after="0"/>
        <w:ind w:left="0" w:right="0" w:firstLine="737"/>
        <w:jc w:val="both"/>
        <w:rPr>
          <w:sz w:val="26"/>
          <w:szCs w:val="26"/>
        </w:rPr>
      </w:pPr>
      <w:r>
        <w:rPr>
          <w:sz w:val="26"/>
          <w:szCs w:val="26"/>
        </w:rPr>
        <w:t>В зданиях для проживания людей запрещается оставлять без присмотра источники открытого огня (свечи, непотушенная сигарета и др.);</w:t>
      </w:r>
    </w:p>
    <w:p>
      <w:pPr>
        <w:pStyle w:val="Normal"/>
        <w:widowControl/>
        <w:suppressAutoHyphens w:val="true"/>
        <w:bidi w:val="0"/>
        <w:spacing w:lineRule="auto" w:line="216" w:before="0" w:after="0"/>
        <w:ind w:left="0" w:right="0" w:firstLine="737"/>
        <w:jc w:val="both"/>
        <w:rPr>
          <w:sz w:val="26"/>
          <w:szCs w:val="26"/>
        </w:rPr>
      </w:pPr>
      <w:r>
        <w:rPr>
          <w:sz w:val="26"/>
          <w:szCs w:val="26"/>
        </w:rPr>
        <w:t>- </w:t>
      </w:r>
      <w:r>
        <w:rPr>
          <w:b/>
          <w:bCs/>
          <w:sz w:val="26"/>
          <w:szCs w:val="26"/>
        </w:rPr>
        <w:t>пункт 86</w:t>
      </w:r>
      <w:r>
        <w:rPr>
          <w:sz w:val="26"/>
          <w:szCs w:val="26"/>
        </w:rPr>
        <w:t>, Запрещается хранение баллонов с горючими газами в </w:t>
      </w:r>
      <w:r>
        <w:rPr>
          <w:sz w:val="26"/>
          <w:szCs w:val="26"/>
        </w:rPr>
        <w:t>п</w:t>
      </w:r>
      <w:r>
        <w:rPr>
          <w:sz w:val="26"/>
          <w:szCs w:val="26"/>
        </w:rPr>
        <w:t>омещениях зданий класса функциональной пожарной опасности Ф1.2, определенного в соответствии с Федеральным законом "Технический регламент о требованиях пожарной безопасности", на кухнях, путях эвакуации, лестничных клетках, в цокольных и подвальных этажах, на чердаках, балконах, лоджиях и в галереях.</w:t>
      </w:r>
    </w:p>
    <w:p>
      <w:pPr>
        <w:pStyle w:val="Normal"/>
        <w:widowControl/>
        <w:suppressAutoHyphens w:val="true"/>
        <w:bidi w:val="0"/>
        <w:spacing w:lineRule="auto" w:line="216" w:before="0" w:after="0"/>
        <w:ind w:left="0" w:right="0" w:firstLine="737"/>
        <w:jc w:val="both"/>
        <w:rPr>
          <w:sz w:val="26"/>
          <w:szCs w:val="26"/>
        </w:rPr>
      </w:pPr>
      <w:r>
        <w:rPr>
          <w:sz w:val="26"/>
          <w:szCs w:val="26"/>
        </w:rPr>
        <w:t>Пристройки и шкафы для газовых баллонов должны запираться на замок и иметь жалюзи для проветривания, а также предупреждающую надпись "Огнеопасно. Газ";</w:t>
      </w:r>
    </w:p>
    <w:p>
      <w:pPr>
        <w:pStyle w:val="Normal"/>
        <w:widowControl/>
        <w:suppressAutoHyphens w:val="true"/>
        <w:bidi w:val="0"/>
        <w:spacing w:lineRule="auto" w:line="216" w:before="0" w:after="0"/>
        <w:ind w:left="0" w:right="0" w:firstLine="737"/>
        <w:jc w:val="both"/>
        <w:rPr>
          <w:sz w:val="26"/>
          <w:szCs w:val="26"/>
        </w:rPr>
      </w:pPr>
      <w:r>
        <w:rPr>
          <w:sz w:val="26"/>
          <w:szCs w:val="26"/>
        </w:rPr>
        <w:t>- </w:t>
      </w:r>
      <w:r>
        <w:rPr>
          <w:b/>
          <w:bCs/>
          <w:sz w:val="26"/>
          <w:szCs w:val="26"/>
        </w:rPr>
        <w:t>пункт 10</w:t>
      </w:r>
      <w:r>
        <w:rPr>
          <w:sz w:val="26"/>
          <w:szCs w:val="26"/>
        </w:rPr>
        <w:t xml:space="preserve">, </w:t>
      </w:r>
      <w:r>
        <w:rPr>
          <w:rFonts w:eastAsia="" w:cs="" w:cstheme="minorBidi" w:eastAsiaTheme="minorEastAsia"/>
          <w:color w:val="auto"/>
          <w:kern w:val="0"/>
          <w:sz w:val="26"/>
          <w:szCs w:val="26"/>
          <w:lang w:val="ru-RU" w:eastAsia="ru-RU" w:bidi="ar-SA"/>
        </w:rPr>
        <w:t>в</w:t>
      </w:r>
      <w:r>
        <w:rPr>
          <w:sz w:val="26"/>
          <w:szCs w:val="26"/>
        </w:rPr>
        <w:t xml:space="preserve"> местах установки приемно-контрольных приборов пожарных должна размещаться информация с перечнем помещений, защищаемых установками противопожарной защиты. Для безадресных систем пожарной сигнализации указывается группа контролируемых помещений;</w:t>
      </w:r>
    </w:p>
    <w:p>
      <w:pPr>
        <w:pStyle w:val="Normal"/>
        <w:widowControl/>
        <w:suppressAutoHyphens w:val="true"/>
        <w:bidi w:val="0"/>
        <w:spacing w:lineRule="auto" w:line="216" w:before="0" w:after="0"/>
        <w:ind w:left="0" w:right="0" w:firstLine="737"/>
        <w:jc w:val="both"/>
        <w:rPr>
          <w:sz w:val="26"/>
          <w:szCs w:val="26"/>
        </w:rPr>
      </w:pPr>
      <w:r>
        <w:rPr>
          <w:sz w:val="26"/>
          <w:szCs w:val="26"/>
        </w:rPr>
        <w:t>- </w:t>
      </w:r>
      <w:r>
        <w:rPr>
          <w:b/>
          <w:bCs/>
          <w:sz w:val="26"/>
          <w:szCs w:val="26"/>
        </w:rPr>
        <w:t>пункт 6</w:t>
      </w:r>
      <w:r>
        <w:rPr>
          <w:sz w:val="26"/>
          <w:szCs w:val="26"/>
        </w:rPr>
        <w:t xml:space="preserve">, </w:t>
      </w:r>
      <w:r>
        <w:rPr>
          <w:rFonts w:eastAsia="" w:cs="" w:cstheme="minorBidi" w:eastAsiaTheme="minorEastAsia"/>
          <w:color w:val="auto"/>
          <w:kern w:val="0"/>
          <w:sz w:val="26"/>
          <w:szCs w:val="26"/>
          <w:lang w:val="ru-RU" w:eastAsia="ru-RU" w:bidi="ar-SA"/>
        </w:rPr>
        <w:t>в</w:t>
      </w:r>
      <w:r>
        <w:rPr>
          <w:sz w:val="26"/>
          <w:szCs w:val="26"/>
        </w:rPr>
        <w:t xml:space="preserve"> отношении объекта защиты с круглосуточным пребыванием людей  руководитель организации организует круглосуточное дежурство обслуживающего персонала и обеспечивает обслуживающий персонал телефонной связью, исправными ручными электрическими фонарями,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w:t>
      </w:r>
    </w:p>
    <w:p>
      <w:pPr>
        <w:pStyle w:val="Normal"/>
        <w:widowControl/>
        <w:suppressAutoHyphens w:val="true"/>
        <w:bidi w:val="0"/>
        <w:spacing w:lineRule="auto" w:line="216" w:before="0" w:after="0"/>
        <w:ind w:left="0" w:right="0" w:firstLine="737"/>
        <w:jc w:val="both"/>
        <w:rPr>
          <w:sz w:val="26"/>
          <w:szCs w:val="26"/>
        </w:rPr>
      </w:pPr>
      <w:r>
        <w:rPr>
          <w:sz w:val="26"/>
          <w:szCs w:val="26"/>
        </w:rPr>
        <w:t xml:space="preserve">В соответствии с </w:t>
      </w:r>
      <w:r>
        <w:rPr>
          <w:b/>
          <w:bCs/>
          <w:sz w:val="26"/>
          <w:szCs w:val="26"/>
        </w:rPr>
        <w:t>Федеральным законом от 22.07.2008 № 123-Фз «Технический регламент о требованиях пожарной безопасности»:</w:t>
      </w:r>
    </w:p>
    <w:p>
      <w:pPr>
        <w:pStyle w:val="Normal"/>
        <w:widowControl/>
        <w:suppressAutoHyphens w:val="true"/>
        <w:bidi w:val="0"/>
        <w:spacing w:lineRule="auto" w:line="216" w:before="0" w:after="0"/>
        <w:ind w:left="0" w:right="0" w:firstLine="737"/>
        <w:jc w:val="both"/>
        <w:rPr>
          <w:sz w:val="26"/>
          <w:szCs w:val="26"/>
        </w:rPr>
      </w:pPr>
      <w:r>
        <w:rPr>
          <w:sz w:val="26"/>
          <w:szCs w:val="26"/>
        </w:rPr>
        <w:t>- </w:t>
      </w:r>
      <w:r>
        <w:rPr>
          <w:b/>
          <w:bCs/>
          <w:sz w:val="26"/>
          <w:szCs w:val="26"/>
        </w:rPr>
        <w:t xml:space="preserve">ч. 7. ст. 83, </w:t>
      </w:r>
      <w:r>
        <w:rPr>
          <w:b w:val="false"/>
          <w:bCs w:val="false"/>
          <w:sz w:val="26"/>
          <w:szCs w:val="26"/>
        </w:rPr>
        <w:t>системы пожарной сигнализации должны обеспечивать подачу светового и звукового сигналов о возникновении пожара на прибор приемно-контрольный пожарный, устанавливаемый в помещении дежурного персонала, или на специальные выносные устройства оповещения, а в зданиях классов функциональной пожарной опасности Ф1.1, Ф1.2, Ф4.1, Ф4.2 с автоматическим дублированием этих сигналов в подразделение пожарной охраны с использованием системы передачи извещений о пожаре.</w:t>
      </w:r>
    </w:p>
    <w:p>
      <w:pPr>
        <w:pStyle w:val="Normal"/>
        <w:widowControl/>
        <w:suppressAutoHyphens w:val="true"/>
        <w:bidi w:val="0"/>
        <w:spacing w:lineRule="auto" w:line="216" w:before="0" w:after="0"/>
        <w:ind w:left="0" w:right="0" w:firstLine="737"/>
        <w:jc w:val="both"/>
        <w:rPr>
          <w:sz w:val="26"/>
          <w:szCs w:val="26"/>
        </w:rPr>
      </w:pPr>
      <w:r>
        <w:rPr>
          <w:b w:val="false"/>
          <w:bCs w:val="false"/>
          <w:sz w:val="26"/>
          <w:szCs w:val="26"/>
        </w:rPr>
        <w:t xml:space="preserve">В соответствии с </w:t>
      </w:r>
      <w:r>
        <w:rPr>
          <w:b/>
          <w:bCs/>
          <w:sz w:val="26"/>
          <w:szCs w:val="26"/>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 утвержденного приказом МЧС России от 31.07.2020 № 582:</w:t>
      </w:r>
    </w:p>
    <w:p>
      <w:pPr>
        <w:pStyle w:val="Normal"/>
        <w:widowControl/>
        <w:suppressAutoHyphens w:val="true"/>
        <w:bidi w:val="0"/>
        <w:spacing w:lineRule="auto" w:line="216" w:before="0" w:after="0"/>
        <w:ind w:left="0" w:right="0" w:firstLine="737"/>
        <w:jc w:val="both"/>
        <w:rPr>
          <w:sz w:val="26"/>
          <w:szCs w:val="26"/>
        </w:rPr>
      </w:pPr>
      <w:r>
        <w:rPr>
          <w:b w:val="false"/>
          <w:bCs w:val="false"/>
          <w:sz w:val="26"/>
          <w:szCs w:val="26"/>
        </w:rPr>
        <w:t>- </w:t>
      </w:r>
      <w:r>
        <w:rPr>
          <w:b/>
          <w:bCs/>
          <w:sz w:val="26"/>
          <w:szCs w:val="26"/>
        </w:rPr>
        <w:t>пункт 6.5.1,</w:t>
      </w:r>
      <w:r>
        <w:rPr>
          <w:b w:val="false"/>
          <w:bCs w:val="false"/>
          <w:sz w:val="26"/>
          <w:szCs w:val="26"/>
        </w:rPr>
        <w:t xml:space="preserve"> </w:t>
      </w:r>
      <w:r>
        <w:rPr>
          <w:rFonts w:eastAsia="" w:cs="" w:cstheme="minorBidi" w:eastAsiaTheme="minorEastAsia"/>
          <w:b w:val="false"/>
          <w:bCs w:val="false"/>
          <w:color w:val="auto"/>
          <w:kern w:val="0"/>
          <w:sz w:val="26"/>
          <w:szCs w:val="26"/>
          <w:lang w:val="ru-RU" w:eastAsia="ru-RU" w:bidi="ar-SA"/>
        </w:rPr>
        <w:t>з</w:t>
      </w:r>
      <w:r>
        <w:rPr>
          <w:b w:val="false"/>
          <w:bCs w:val="false"/>
          <w:sz w:val="26"/>
          <w:szCs w:val="26"/>
        </w:rPr>
        <w:t>ащиту от ложных срабатываний следует обеспечивать одним или комбинацией следующих мероприятий:</w:t>
      </w:r>
      <w:r>
        <w:rPr>
          <w:b w:val="false"/>
          <w:bCs w:val="false"/>
          <w:sz w:val="26"/>
          <w:szCs w:val="26"/>
        </w:rPr>
        <w:t xml:space="preserve"> выбором типа ИП; применением ИП, не реагирующих на факторы, схожие, но не связанные с пожаром и которые присутствуют при нормальном функционировании объекта [пыль, пар, резкие перепады температуры (например, при открытии дверей), сценический дым, дым и излучение от сварочных работ, солнечное излучение и т.п.]; использованием мультикритериальных ИП; применением экранированных кабелей, кабелей типа "витая пара", оптоволоконных линий связи; использованием алгоритмов принятия решения о пожаре B или C.</w:t>
      </w:r>
      <w:r>
        <w:br w:type="page"/>
      </w:r>
    </w:p>
    <w:p>
      <w:pPr>
        <w:pStyle w:val="Normal"/>
        <w:widowControl/>
        <w:suppressAutoHyphens w:val="true"/>
        <w:bidi w:val="0"/>
        <w:spacing w:lineRule="auto" w:line="216" w:before="0" w:after="0"/>
        <w:ind w:left="0" w:right="0" w:firstLine="737"/>
        <w:jc w:val="center"/>
        <w:rPr>
          <w:sz w:val="32"/>
          <w:szCs w:val="32"/>
        </w:rPr>
      </w:pPr>
      <w:r>
        <w:rPr>
          <w:rFonts w:eastAsia="" w:cs="" w:cstheme="minorBidi" w:eastAsiaTheme="minorEastAsia"/>
          <w:b/>
          <w:bCs/>
          <w:color w:val="auto"/>
          <w:kern w:val="0"/>
          <w:sz w:val="32"/>
          <w:szCs w:val="32"/>
          <w:lang w:val="ru-RU" w:eastAsia="ru-RU" w:bidi="ar-SA"/>
        </w:rPr>
        <w:t>Порядок использования открытого огня</w:t>
      </w:r>
    </w:p>
    <w:p>
      <w:pPr>
        <w:pStyle w:val="Normal"/>
        <w:widowControl/>
        <w:suppressAutoHyphens w:val="true"/>
        <w:bidi w:val="0"/>
        <w:spacing w:lineRule="auto" w:line="216" w:before="0" w:after="0"/>
        <w:ind w:left="0" w:right="0" w:firstLine="737"/>
        <w:jc w:val="both"/>
        <w:rPr>
          <w:sz w:val="16"/>
          <w:szCs w:val="16"/>
        </w:rPr>
      </w:pPr>
      <w:r>
        <w:rPr>
          <w:sz w:val="16"/>
          <w:szCs w:val="16"/>
        </w:rPr>
      </w:r>
    </w:p>
    <w:p>
      <w:pPr>
        <w:pStyle w:val="Normal"/>
        <w:widowControl/>
        <w:suppressAutoHyphens w:val="true"/>
        <w:bidi w:val="0"/>
        <w:spacing w:lineRule="auto" w:line="216" w:before="0" w:after="0"/>
        <w:ind w:left="0" w:right="0" w:firstLine="737"/>
        <w:jc w:val="both"/>
        <w:rPr>
          <w:sz w:val="26"/>
          <w:szCs w:val="26"/>
        </w:rPr>
      </w:pPr>
      <w:r>
        <w:rPr>
          <w:sz w:val="26"/>
          <w:szCs w:val="26"/>
        </w:rPr>
        <w:t xml:space="preserve">В соответствии с </w:t>
      </w:r>
      <w:r>
        <w:rPr>
          <w:b/>
          <w:bCs/>
          <w:sz w:val="26"/>
          <w:szCs w:val="26"/>
        </w:rPr>
        <w:t>приложением № 4 Правил противопожарного режима в Российской Федерации, утвержденные  Постановлением Правительства Российской Федерации от 16.09.2020 № 1479:</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1. </w:t>
      </w:r>
      <w:r>
        <w:rPr>
          <w:rFonts w:cs="Times New Roman"/>
          <w:i w:val="false"/>
          <w:iCs w:val="false"/>
          <w:sz w:val="26"/>
          <w:szCs w:val="26"/>
        </w:rPr>
        <w:t>Настоящий порядок использования открытого огня и разведения костров на землях сельскохозяйственного назначения, землях запаса и землях населенных пунктов (далее - порядок) устанавливает обязательные требования пожарной безопасности к использованию открытого огня и разведению костров на землях сельскохозяйственного назначения, землях запаса и землях населенных пунктов (далее - использование открытого огня);</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2. </w:t>
      </w:r>
      <w:r>
        <w:rPr>
          <w:rFonts w:cs="Times New Roman"/>
          <w:i w:val="false"/>
          <w:iCs w:val="false"/>
          <w:sz w:val="26"/>
          <w:szCs w:val="26"/>
        </w:rPr>
        <w:t>Использование открытого огня должно осуществляться в специально оборудованных местах при выполнении следующих требований:</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а) </w:t>
      </w:r>
      <w:r>
        <w:rPr>
          <w:rFonts w:cs="Times New Roman"/>
          <w:i w:val="false"/>
          <w:iCs w:val="false"/>
          <w:sz w:val="26"/>
          <w:szCs w:val="26"/>
        </w:rPr>
        <w:t>место использования открытого огня должно быть выполнено в виде котлована (ямы, рва) не менее чем 0,3 метра глубиной и не более 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пределы очага горения, объемом не более 1 куб. метра;</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б) </w:t>
      </w:r>
      <w:r>
        <w:rPr>
          <w:rFonts w:cs="Times New Roman"/>
          <w:i w:val="false"/>
          <w:iCs w:val="false"/>
          <w:sz w:val="26"/>
          <w:szCs w:val="26"/>
        </w:rPr>
        <w:t>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 от хвойного леса или отдельно растущих хвойных деревьев и молодняка и 30 метров - от лиственного леса или отдельно растущих групп лиственных деревьев. При использовании открытого огня для сжигания сухой травы, веток, листвы и другой горючей растительности на индивидуальных земельных участках населенных пунктов, а также на садовых или огородных земельных участках место использования открытого огня должно располагаться на расстоянии не менее 15 метров до зданий, сооружений и иных построек;</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в) </w:t>
      </w:r>
      <w:r>
        <w:rPr>
          <w:rFonts w:cs="Times New Roman"/>
          <w:i w:val="false"/>
          <w:iCs w:val="false"/>
          <w:sz w:val="26"/>
          <w:szCs w:val="26"/>
        </w:rPr>
        <w:t>территория вокруг места использования открытого огня должна быть очищена в радиусе 10 метров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г) </w:t>
      </w:r>
      <w:r>
        <w:rPr>
          <w:rFonts w:cs="Times New Roman"/>
          <w:i w:val="false"/>
          <w:iCs w:val="false"/>
          <w:sz w:val="26"/>
          <w:szCs w:val="26"/>
        </w:rPr>
        <w:t>лицо, использующее открытый огонь, должно быть обеспечено первичными средствами пожаротушения для локализации и ликвидации горения, а также мобильным средством связи для вызова подразделения пожарной охраны.</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3. </w:t>
      </w:r>
      <w:r>
        <w:rPr>
          <w:rFonts w:cs="Times New Roman"/>
          <w:i w:val="false"/>
          <w:iCs w:val="false"/>
          <w:sz w:val="26"/>
          <w:szCs w:val="26"/>
        </w:rPr>
        <w:t>При использовании открытого огня для сжигания сухой травы, веток, листвы и другой горючей растительности в металлической емкости или емкости, выполненной из иных негорючих материалов, исключающей распространение пламени и выпадение горючих материалов за пределы очага горения, минимально допустимые расстояния, предусмотренные подпунктами "б" и "в" пункта 2 порядка, могут быть уменьшены вдвое. При этом устройство противопожарной минерализованной полосы не требуется;</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4.</w:t>
      </w:r>
      <w:r>
        <w:rPr>
          <w:rFonts w:cs="Times New Roman"/>
          <w:i w:val="false"/>
          <w:iCs w:val="false"/>
          <w:sz w:val="26"/>
          <w:szCs w:val="26"/>
        </w:rPr>
        <w:t> В целях своевременной локализации процесса горения емкость, предназначенная для сжигания мусора, должна использоваться с металлическим листом, размер которого должен позволять полностью закрыть указанную емкость сверху;</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5. </w:t>
      </w:r>
      <w:r>
        <w:rPr>
          <w:rFonts w:cs="Times New Roman"/>
          <w:i w:val="false"/>
          <w:iCs w:val="false"/>
          <w:sz w:val="26"/>
          <w:szCs w:val="26"/>
        </w:rPr>
        <w:t>При использовании открытого огня и разведении костров для приготовления пищи в специальных несгораемых емкостях (например, мангалах, жаровнях) на земельных участках населенных пунктов, а также на садовых или огородных земельных участках противопожарное расстояние от очага горения до зданий, сооружений и иных построек допускается уменьшать до 5 метров, а зону очистки вокруг емкости от горючих материалов - до 2 метров;</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6.</w:t>
      </w:r>
      <w:r>
        <w:rPr>
          <w:rFonts w:cs="Times New Roman"/>
          <w:i w:val="false"/>
          <w:iCs w:val="false"/>
          <w:sz w:val="26"/>
          <w:szCs w:val="26"/>
        </w:rPr>
        <w:t> В случаях выполнения работ по уничтожению сухой травянистой растительности, стерни, пожнивных остатков и иных горючих отходов, организации массовых мероприятий с использованием открытого огня допускается увеличивать диаметр очага горения до 3 метров. При этом минимально допустимый радиус зоны очистки территории вокруг очага горения от сухостойных деревьев, сухой травы, валежника, порубочных остатков, других горючих материалов в зависимости от высоты точки их размещения в месте использования открытого огня над уровнем земли следует определять согласно приложению.</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7.</w:t>
      </w:r>
      <w:r>
        <w:rPr>
          <w:rFonts w:cs="Times New Roman"/>
          <w:i w:val="false"/>
          <w:iCs w:val="false"/>
          <w:sz w:val="26"/>
          <w:szCs w:val="26"/>
        </w:rPr>
        <w:t> При увеличении диаметра зоны очага горения должны быть выполнены требования пункта 2 порядка. При этом на каждый очаг использования открытого огня должно быть задействовано не менее 2 человек, обеспеченных первичными средствами пожаротушения и прошедших обучение мерам пожарной безопасности;</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8. </w:t>
      </w:r>
      <w:r>
        <w:rPr>
          <w:rFonts w:cs="Times New Roman"/>
          <w:i w:val="false"/>
          <w:iCs w:val="false"/>
          <w:sz w:val="26"/>
          <w:szCs w:val="26"/>
        </w:rPr>
        <w:t>В течение всего периода использования открытого огня до прекращения процесса тления должен осуществляться контроль за нераспространением горения (тления) за пределы очаговой зоны;</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9. Использование открытого огня запрещается:</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на торфяных почвах;</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при установлении на соответствующей территории особого противопожарного режима;</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при поступившей информации о приближающихся неблагоприятных или опасных для жизнедеятельности людей метеорологических последствиях, связанных с сильными порывами ветра;</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под кронами деревьев хвойных пород;</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в емкости, стенки которой имеют огненный сквозной прогар, механические разрывы (повреждения) и иные отверстия, в том числе технологические, через которые возможно выпадение горючих материалов за пределы очага горения;</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при скорости ветра, превышающей значение 5 метров в секунду, если открытый огонь используется без металлической емкости или емкости, выполненной из иных негорючих материалов, исключающей распространение пламени и выпадение сгораемых материалов за пределы очага горения;</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при скорости ветра, превышающей значение 10 метров в секунду.</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10.</w:t>
      </w:r>
      <w:r>
        <w:rPr>
          <w:rFonts w:cs="Times New Roman"/>
          <w:i w:val="false"/>
          <w:iCs w:val="false"/>
          <w:sz w:val="26"/>
          <w:szCs w:val="26"/>
        </w:rPr>
        <w:t> В процессе использования открытого огня запрещается:</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осуществлять сжигание горючих и легковоспламеняющихся жидкостей (кроме жидкостей, используемых для розжига), взрывоопасных веществ и материалов, а также изделий и иных материалов, выделяющих при горении токсичные и высокотоксичные вещества;</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оставлять место очага горения без присмотра до полного прекращения горения (тления);</w:t>
      </w:r>
    </w:p>
    <w:p>
      <w:pPr>
        <w:pStyle w:val="Normal"/>
        <w:widowControl/>
        <w:suppressAutoHyphens w:val="true"/>
        <w:bidi w:val="0"/>
        <w:spacing w:lineRule="auto" w:line="216" w:before="0" w:after="0"/>
        <w:ind w:left="0" w:right="0" w:firstLine="737"/>
        <w:jc w:val="both"/>
        <w:rPr>
          <w:sz w:val="26"/>
          <w:szCs w:val="26"/>
        </w:rPr>
      </w:pPr>
      <w:r>
        <w:rPr>
          <w:rFonts w:cs="Times New Roman"/>
          <w:i w:val="false"/>
          <w:iCs w:val="false"/>
          <w:sz w:val="26"/>
          <w:szCs w:val="26"/>
        </w:rPr>
        <w:t>располагать легковоспламеняющиеся и горючие жидкости, а также горючие материалы вблизи очага горения.</w:t>
      </w:r>
    </w:p>
    <w:p>
      <w:pPr>
        <w:pStyle w:val="Normal"/>
        <w:widowControl/>
        <w:suppressAutoHyphens w:val="true"/>
        <w:bidi w:val="0"/>
        <w:spacing w:lineRule="auto" w:line="216" w:before="0" w:after="0"/>
        <w:ind w:left="0" w:right="0" w:firstLine="737"/>
        <w:jc w:val="both"/>
        <w:rPr>
          <w:sz w:val="26"/>
          <w:szCs w:val="26"/>
        </w:rPr>
      </w:pPr>
      <w:r>
        <w:rPr>
          <w:rFonts w:cs="Times New Roman"/>
          <w:b/>
          <w:bCs/>
          <w:i w:val="false"/>
          <w:iCs w:val="false"/>
          <w:sz w:val="26"/>
          <w:szCs w:val="26"/>
        </w:rPr>
        <w:t>11.</w:t>
      </w:r>
      <w:r>
        <w:rPr>
          <w:rFonts w:cs="Times New Roman"/>
          <w:i w:val="false"/>
          <w:iCs w:val="false"/>
          <w:sz w:val="26"/>
          <w:szCs w:val="26"/>
        </w:rPr>
        <w:t> После использования открытого огня место очага горения должно быть засыпано землей (песком) или залито водой до полного прекращения горения (тления).</w:t>
      </w:r>
    </w:p>
    <w:p>
      <w:pPr>
        <w:pStyle w:val="Style24"/>
        <w:spacing w:lineRule="auto" w:line="240" w:before="0" w:after="0"/>
        <w:ind w:left="0" w:firstLine="567"/>
        <w:contextualSpacing/>
        <w:jc w:val="both"/>
        <w:rPr>
          <w:sz w:val="26"/>
          <w:szCs w:val="26"/>
        </w:rPr>
      </w:pPr>
      <w:r>
        <w:rPr>
          <w:sz w:val="26"/>
          <w:szCs w:val="26"/>
        </w:rPr>
      </w:r>
    </w:p>
    <w:p>
      <w:pPr>
        <w:pStyle w:val="Normal"/>
        <w:spacing w:lineRule="auto" w:line="216"/>
        <w:jc w:val="both"/>
        <w:rPr>
          <w:sz w:val="24"/>
          <w:szCs w:val="24"/>
        </w:rPr>
      </w:pPr>
      <w:r>
        <w:rPr/>
      </w:r>
    </w:p>
    <w:sectPr>
      <w:type w:val="nextPage"/>
      <w:pgSz w:w="11906" w:h="16838"/>
      <w:pgMar w:left="1191" w:right="567" w:header="0" w:top="510" w:footer="0" w:bottom="39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Cambria">
    <w:charset w:val="01"/>
    <w:family w:val="roman"/>
    <w:pitch w:val="default"/>
  </w:font>
  <w:font w:name="Tahoma">
    <w:charset w:val="01"/>
    <w:family w:val="roman"/>
    <w:pitch w:val="default"/>
  </w:font>
  <w:font w:name="PT Astra Serif">
    <w:charset w:val="01"/>
    <w:family w:val="roman"/>
    <w:pitch w:val="default"/>
  </w:font>
  <w:font w:name="Liberation Sans">
    <w:altName w:val="Arial"/>
    <w:charset w:val="01"/>
    <w:family w:val="roman"/>
    <w:pitch w:val="default"/>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1efa"/>
    <w:pPr>
      <w:widowControl w:val="false"/>
      <w:suppressAutoHyphens w:val="true"/>
      <w:bidi w:val="0"/>
      <w:spacing w:lineRule="auto" w:line="228" w:before="0" w:after="0"/>
      <w:jc w:val="left"/>
    </w:pPr>
    <w:rPr>
      <w:rFonts w:ascii="Times New Roman" w:hAnsi="Times New Roman" w:eastAsia="" w:cs="" w:cstheme="minorBidi" w:eastAsiaTheme="minorEastAsia"/>
      <w:color w:val="auto"/>
      <w:kern w:val="0"/>
      <w:sz w:val="28"/>
      <w:szCs w:val="22"/>
      <w:lang w:val="ru-RU" w:eastAsia="ru-RU" w:bidi="ar-SA"/>
    </w:rPr>
  </w:style>
  <w:style w:type="paragraph" w:styleId="2">
    <w:name w:val="Heading 2"/>
    <w:basedOn w:val="Normal"/>
    <w:next w:val="Normal"/>
    <w:link w:val="20"/>
    <w:uiPriority w:val="9"/>
    <w:semiHidden/>
    <w:unhideWhenUsed/>
    <w:qFormat/>
    <w:rsid w:val="00d07e5a"/>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paragraph" w:styleId="3">
    <w:name w:val="Heading 3"/>
    <w:basedOn w:val="Normal"/>
    <w:next w:val="Normal"/>
    <w:link w:val="30"/>
    <w:qFormat/>
    <w:rsid w:val="00d07e5a"/>
    <w:pPr>
      <w:keepNext w:val="true"/>
      <w:jc w:val="center"/>
      <w:outlineLvl w:val="2"/>
    </w:pPr>
    <w:rPr>
      <w:rFonts w:eastAsia="Times New Roman" w:cs="Times New Roman"/>
      <w:b/>
      <w:sz w:val="18"/>
      <w:szCs w:val="20"/>
    </w:rPr>
  </w:style>
  <w:style w:type="character" w:styleId="DefaultParagraphFont" w:default="1">
    <w:name w:val="Default Paragraph Font"/>
    <w:uiPriority w:val="1"/>
    <w:semiHidden/>
    <w:unhideWhenUsed/>
    <w:qFormat/>
    <w:rPr/>
  </w:style>
  <w:style w:type="character" w:styleId="Style12" w:customStyle="1">
    <w:name w:val="Текст выноски Знак"/>
    <w:basedOn w:val="DefaultParagraphFont"/>
    <w:uiPriority w:val="99"/>
    <w:semiHidden/>
    <w:qFormat/>
    <w:rsid w:val="00f41efa"/>
    <w:rPr>
      <w:rFonts w:ascii="Tahoma" w:hAnsi="Tahoma" w:cs="Tahoma"/>
      <w:sz w:val="16"/>
      <w:szCs w:val="16"/>
    </w:rPr>
  </w:style>
  <w:style w:type="character" w:styleId="Style13" w:customStyle="1">
    <w:name w:val="Верхний колонтитул Знак"/>
    <w:basedOn w:val="DefaultParagraphFont"/>
    <w:link w:val="a9"/>
    <w:uiPriority w:val="99"/>
    <w:qFormat/>
    <w:rsid w:val="00893d93"/>
    <w:rPr>
      <w:rFonts w:ascii="Times New Roman" w:hAnsi="Times New Roman"/>
      <w:sz w:val="28"/>
    </w:rPr>
  </w:style>
  <w:style w:type="character" w:styleId="Style14" w:customStyle="1">
    <w:name w:val="Нижний колонтитул Знак"/>
    <w:basedOn w:val="DefaultParagraphFont"/>
    <w:link w:val="ab"/>
    <w:uiPriority w:val="99"/>
    <w:qFormat/>
    <w:rsid w:val="00893d93"/>
    <w:rPr>
      <w:rFonts w:ascii="Times New Roman" w:hAnsi="Times New Roman"/>
      <w:sz w:val="28"/>
    </w:rPr>
  </w:style>
  <w:style w:type="character" w:styleId="PlaceholderText">
    <w:name w:val="Placeholder Text"/>
    <w:basedOn w:val="DefaultParagraphFont"/>
    <w:uiPriority w:val="99"/>
    <w:semiHidden/>
    <w:qFormat/>
    <w:rsid w:val="000b1ed1"/>
    <w:rPr>
      <w:color w:val="808080"/>
    </w:rPr>
  </w:style>
  <w:style w:type="character" w:styleId="31" w:customStyle="1">
    <w:name w:val="Заголовок 3 Знак"/>
    <w:basedOn w:val="DefaultParagraphFont"/>
    <w:link w:val="3"/>
    <w:qFormat/>
    <w:rsid w:val="00d07e5a"/>
    <w:rPr>
      <w:rFonts w:ascii="Times New Roman" w:hAnsi="Times New Roman" w:eastAsia="Times New Roman" w:cs="Times New Roman"/>
      <w:b/>
      <w:sz w:val="18"/>
      <w:szCs w:val="20"/>
    </w:rPr>
  </w:style>
  <w:style w:type="character" w:styleId="21" w:customStyle="1">
    <w:name w:val="Заголовок 2 Знак"/>
    <w:basedOn w:val="DefaultParagraphFont"/>
    <w:link w:val="2"/>
    <w:uiPriority w:val="9"/>
    <w:semiHidden/>
    <w:qFormat/>
    <w:rsid w:val="00d07e5a"/>
    <w:rPr>
      <w:rFonts w:ascii="Cambria" w:hAnsi="Cambria" w:eastAsia="" w:cs="" w:asciiTheme="majorHAnsi" w:cstheme="majorBidi" w:eastAsiaTheme="majorEastAsia" w:hAnsiTheme="majorHAnsi"/>
      <w:color w:val="365F91" w:themeColor="accent1" w:themeShade="bf"/>
      <w:sz w:val="26"/>
      <w:szCs w:val="26"/>
    </w:rPr>
  </w:style>
  <w:style w:type="character" w:styleId="Style15">
    <w:name w:val="Символ нумерации"/>
    <w:qFormat/>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rsid w:val="00c86a98"/>
    <w:pPr>
      <w:spacing w:lineRule="auto" w:line="276" w:before="0" w:after="140"/>
    </w:pPr>
    <w:rPr/>
  </w:style>
  <w:style w:type="paragraph" w:styleId="Style18">
    <w:name w:val="List"/>
    <w:basedOn w:val="Style17"/>
    <w:rsid w:val="00c86a98"/>
    <w:pPr/>
    <w:rPr>
      <w:rFonts w:cs="Arial"/>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rPr>
  </w:style>
  <w:style w:type="paragraph" w:styleId="1" w:customStyle="1">
    <w:name w:val="Заголовок1"/>
    <w:basedOn w:val="Normal"/>
    <w:next w:val="Style17"/>
    <w:qFormat/>
    <w:rsid w:val="00c86a98"/>
    <w:pPr>
      <w:keepNext w:val="true"/>
      <w:spacing w:before="240" w:after="120"/>
    </w:pPr>
    <w:rPr>
      <w:rFonts w:ascii="Liberation Sans" w:hAnsi="Liberation Sans" w:eastAsia="Microsoft YaHei" w:cs="Arial"/>
      <w:szCs w:val="28"/>
    </w:rPr>
  </w:style>
  <w:style w:type="paragraph" w:styleId="Caption">
    <w:name w:val="caption"/>
    <w:basedOn w:val="Normal"/>
    <w:qFormat/>
    <w:rsid w:val="00c86a98"/>
    <w:pPr>
      <w:suppressLineNumbers/>
      <w:spacing w:before="120" w:after="120"/>
    </w:pPr>
    <w:rPr>
      <w:rFonts w:cs="Arial"/>
      <w:i/>
      <w:iCs/>
      <w:sz w:val="24"/>
      <w:szCs w:val="24"/>
    </w:rPr>
  </w:style>
  <w:style w:type="paragraph" w:styleId="11" w:customStyle="1">
    <w:name w:val="Указатель1"/>
    <w:basedOn w:val="Normal"/>
    <w:qFormat/>
    <w:rsid w:val="00c86a98"/>
    <w:pPr>
      <w:suppressLineNumbers/>
    </w:pPr>
    <w:rPr>
      <w:rFonts w:cs="Arial"/>
    </w:rPr>
  </w:style>
  <w:style w:type="paragraph" w:styleId="BalloonText">
    <w:name w:val="Balloon Text"/>
    <w:basedOn w:val="Normal"/>
    <w:uiPriority w:val="99"/>
    <w:semiHidden/>
    <w:unhideWhenUsed/>
    <w:qFormat/>
    <w:rsid w:val="00f41efa"/>
    <w:pPr/>
    <w:rPr>
      <w:rFonts w:ascii="Tahoma" w:hAnsi="Tahoma" w:cs="Tahoma"/>
      <w:sz w:val="16"/>
      <w:szCs w:val="16"/>
    </w:rPr>
  </w:style>
  <w:style w:type="paragraph" w:styleId="Style21">
    <w:name w:val="Верхний и нижний колонтитулы"/>
    <w:basedOn w:val="Normal"/>
    <w:qFormat/>
    <w:pPr/>
    <w:rPr/>
  </w:style>
  <w:style w:type="paragraph" w:styleId="Style22">
    <w:name w:val="Header"/>
    <w:basedOn w:val="Normal"/>
    <w:link w:val="aa"/>
    <w:uiPriority w:val="99"/>
    <w:unhideWhenUsed/>
    <w:rsid w:val="00893d93"/>
    <w:pPr>
      <w:tabs>
        <w:tab w:val="clear" w:pos="708"/>
        <w:tab w:val="center" w:pos="4677" w:leader="none"/>
        <w:tab w:val="right" w:pos="9355" w:leader="none"/>
      </w:tabs>
    </w:pPr>
    <w:rPr/>
  </w:style>
  <w:style w:type="paragraph" w:styleId="Style23">
    <w:name w:val="Footer"/>
    <w:basedOn w:val="Normal"/>
    <w:link w:val="ac"/>
    <w:uiPriority w:val="99"/>
    <w:unhideWhenUsed/>
    <w:rsid w:val="00893d93"/>
    <w:pPr>
      <w:tabs>
        <w:tab w:val="clear" w:pos="708"/>
        <w:tab w:val="center" w:pos="4677" w:leader="none"/>
        <w:tab w:val="right" w:pos="9355" w:leader="none"/>
      </w:tabs>
    </w:pPr>
    <w:rPr/>
  </w:style>
  <w:style w:type="paragraph" w:styleId="12" w:customStyle="1">
    <w:name w:val="Обычный1"/>
    <w:qFormat/>
    <w:rsid w:val="00d07e5a"/>
    <w:pPr>
      <w:widowControl w:val="false"/>
      <w:suppressAutoHyphens w:val="true"/>
      <w:bidi w:val="0"/>
      <w:spacing w:before="0" w:after="0"/>
      <w:jc w:val="left"/>
    </w:pPr>
    <w:rPr>
      <w:rFonts w:ascii="Times New Roman" w:hAnsi="Times New Roman" w:eastAsia="Times New Roman" w:cs="Times New Roman"/>
      <w:color w:val="auto"/>
      <w:kern w:val="0"/>
      <w:sz w:val="28"/>
      <w:szCs w:val="20"/>
      <w:lang w:val="ru-RU" w:eastAsia="ru-RU" w:bidi="ar-SA"/>
    </w:rPr>
  </w:style>
  <w:style w:type="paragraph" w:styleId="Style24">
    <w:name w:val="Абзац списка"/>
    <w:basedOn w:val="Normal"/>
    <w:qFormat/>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8">
    <w:name w:val="Table Grid"/>
    <w:basedOn w:val="a1"/>
    <w:uiPriority w:val="59"/>
    <w:rsid w:val="00ea1e66"/>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glossaryDocument" Target="glossary/document.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26BEF06D-749D-4262-8ECE-F70F2666E11E}"/>
      </w:docPartPr>
      <w:docPartBody>
        <w:p w:rsidR="0001138C" w:rsidRDefault="00437514">
          <w:r w:rsidRPr="00F370EE">
            <w:rPr>
              <w:rStyle w:val="a3"/>
            </w:rPr>
            <w:t>Место для ввода текста.</w:t>
          </w:r>
        </w:p>
      </w:docPartBody>
    </w:docPart>
    <w:docPart>
      <w:docPartPr>
        <w:name w:val="DA0AE660A25744129206D384AFCD28DB"/>
        <w:category>
          <w:name w:val="Общие"/>
          <w:gallery w:val="placeholder"/>
        </w:category>
        <w:types>
          <w:type w:val="bbPlcHdr"/>
        </w:types>
        <w:behaviors>
          <w:behavior w:val="content"/>
        </w:behaviors>
        <w:guid w:val="{8CDDBF6E-19DD-49FC-8F3F-D273FE2E41F8}"/>
      </w:docPartPr>
      <w:docPartBody>
        <w:p w:rsidR="00B40164" w:rsidRDefault="002F762A" w:rsidP="002F762A">
          <w:pPr>
            <w:pStyle w:val="DA0AE660A25744129206D384AFCD28DB"/>
          </w:pPr>
          <w:r w:rsidRPr="00F370E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2"/>
  </w:compat>
  <w:rsids>
    <w:rsidRoot w:val="00437514"/>
    <w:rsid w:val="0001138C"/>
    <w:rsid w:val="002F762A"/>
    <w:rsid w:val="00437514"/>
    <w:rsid w:val="00B40164"/>
    <w:rsid w:val="00B517F9"/>
    <w:rsid w:val="00ED1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6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762A"/>
    <w:rPr>
      <w:color w:val="808080"/>
    </w:rPr>
  </w:style>
  <w:style w:type="paragraph" w:customStyle="1" w:styleId="DA0AE660A25744129206D384AFCD28DB">
    <w:name w:val="DA0AE660A25744129206D384AFCD28DB"/>
    <w:rsid w:val="002F762A"/>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Application>LibreOffice/6.4.4.2$Linux_X86_64 LibreOffice_project/40$Build-2</Application>
  <Pages>4</Pages>
  <Words>1699</Words>
  <Characters>11986</Characters>
  <CharactersWithSpaces>13650</CharactersWithSpaces>
  <Paragraphs>53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2021-01-13T05:34:00Z</dcterms:created>
  <dc:creator>Microsoft Office User</dc:creator>
  <dc:description/>
  <dc:language>ru-RU</dc:language>
  <cp:lastModifiedBy/>
  <dcterms:modified xsi:type="dcterms:W3CDTF">2024-05-08T16:48:06Z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